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D3446" w14:textId="77777777" w:rsidR="006F5E21" w:rsidRPr="005039F1" w:rsidRDefault="006F5E21" w:rsidP="006F5E21">
      <w:pPr>
        <w:spacing w:line="280" w:lineRule="exact"/>
        <w:jc w:val="center"/>
        <w:rPr>
          <w:b/>
          <w:sz w:val="24"/>
          <w:lang w:val="en-US"/>
        </w:rPr>
      </w:pPr>
      <w:r w:rsidRPr="005039F1">
        <w:rPr>
          <w:b/>
          <w:noProof/>
          <w:sz w:val="24"/>
          <w:lang w:eastAsia="en-NZ"/>
        </w:rPr>
        <w:drawing>
          <wp:anchor distT="0" distB="0" distL="114300" distR="114300" simplePos="0" relativeHeight="251659264" behindDoc="1" locked="0" layoutInCell="1" allowOverlap="1" wp14:anchorId="345781A9" wp14:editId="1C160212">
            <wp:simplePos x="0" y="0"/>
            <wp:positionH relativeFrom="page">
              <wp:posOffset>2543175</wp:posOffset>
            </wp:positionH>
            <wp:positionV relativeFrom="page">
              <wp:posOffset>904875</wp:posOffset>
            </wp:positionV>
            <wp:extent cx="2638425" cy="485775"/>
            <wp:effectExtent l="0" t="0" r="0" b="9525"/>
            <wp:wrapTight wrapText="bothSides">
              <wp:wrapPolygon edited="0">
                <wp:start x="0" y="0"/>
                <wp:lineTo x="0" y="21176"/>
                <wp:lineTo x="13412" y="21176"/>
                <wp:lineTo x="17467" y="21176"/>
                <wp:lineTo x="21210" y="17788"/>
                <wp:lineTo x="21366" y="7624"/>
                <wp:lineTo x="21366" y="1694"/>
                <wp:lineTo x="13412" y="0"/>
                <wp:lineTo x="0" y="0"/>
              </wp:wrapPolygon>
            </wp:wrapTight>
            <wp:docPr id="10" name="Picture 10" descr="Logo with Full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with Full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B5797" w14:textId="77777777" w:rsidR="006F5E21" w:rsidRPr="005039F1" w:rsidRDefault="006F5E21" w:rsidP="006F5E21">
      <w:pPr>
        <w:spacing w:line="280" w:lineRule="exact"/>
        <w:jc w:val="center"/>
        <w:rPr>
          <w:b/>
          <w:sz w:val="24"/>
          <w:lang w:val="en-US"/>
        </w:rPr>
      </w:pPr>
    </w:p>
    <w:p w14:paraId="1CBC26EE" w14:textId="77777777" w:rsidR="006F5E21" w:rsidRPr="005039F1" w:rsidRDefault="006F5E21" w:rsidP="006F5E21">
      <w:pPr>
        <w:spacing w:line="280" w:lineRule="exact"/>
        <w:jc w:val="center"/>
        <w:rPr>
          <w:b/>
          <w:sz w:val="24"/>
          <w:lang w:val="en-US"/>
        </w:rPr>
      </w:pPr>
    </w:p>
    <w:p w14:paraId="792E41AA" w14:textId="77777777" w:rsidR="006F5E21" w:rsidRPr="005039F1" w:rsidRDefault="006F5E21" w:rsidP="006F5E21">
      <w:pPr>
        <w:spacing w:line="280" w:lineRule="exact"/>
        <w:jc w:val="center"/>
        <w:rPr>
          <w:b/>
          <w:sz w:val="24"/>
          <w:lang w:val="en-US"/>
        </w:rPr>
      </w:pPr>
    </w:p>
    <w:p w14:paraId="7E9A025A" w14:textId="77777777" w:rsidR="006F5E21" w:rsidRPr="005039F1" w:rsidRDefault="006F5E21" w:rsidP="006F5E21">
      <w:pPr>
        <w:spacing w:line="280" w:lineRule="exact"/>
        <w:jc w:val="center"/>
        <w:rPr>
          <w:b/>
          <w:sz w:val="24"/>
          <w:lang w:val="en-US"/>
        </w:rPr>
      </w:pPr>
    </w:p>
    <w:p w14:paraId="7559309A" w14:textId="77777777" w:rsidR="009353B8" w:rsidRPr="005039F1" w:rsidRDefault="006F5E21" w:rsidP="009353B8">
      <w:pPr>
        <w:spacing w:after="0" w:line="280" w:lineRule="exact"/>
        <w:jc w:val="center"/>
        <w:rPr>
          <w:rFonts w:ascii="Times New Roman" w:hAnsi="Times New Roman" w:cs="Times New Roman"/>
          <w:b/>
          <w:sz w:val="24"/>
          <w:lang w:val="en-US"/>
        </w:rPr>
      </w:pPr>
      <w:r w:rsidRPr="005039F1">
        <w:rPr>
          <w:rFonts w:ascii="Times New Roman" w:hAnsi="Times New Roman" w:cs="Times New Roman"/>
          <w:b/>
          <w:sz w:val="24"/>
          <w:lang w:val="en-US"/>
        </w:rPr>
        <w:t>International Public Sector Accounting Standard </w:t>
      </w:r>
      <w:r w:rsidR="009353B8" w:rsidRPr="005039F1">
        <w:rPr>
          <w:rFonts w:ascii="Times New Roman" w:hAnsi="Times New Roman" w:cs="Times New Roman"/>
          <w:b/>
          <w:sz w:val="24"/>
          <w:lang w:val="en-US"/>
        </w:rPr>
        <w:t xml:space="preserve">39 </w:t>
      </w:r>
    </w:p>
    <w:p w14:paraId="79AA7229" w14:textId="77777777" w:rsidR="006F5E21" w:rsidRPr="005039F1" w:rsidRDefault="009353B8" w:rsidP="009353B8">
      <w:pPr>
        <w:spacing w:after="0" w:line="280" w:lineRule="exact"/>
        <w:jc w:val="center"/>
        <w:rPr>
          <w:rFonts w:ascii="Times New Roman" w:hAnsi="Times New Roman" w:cs="Times New Roman"/>
          <w:b/>
          <w:sz w:val="24"/>
          <w:lang w:val="en-US"/>
        </w:rPr>
      </w:pPr>
      <w:r w:rsidRPr="005039F1">
        <w:rPr>
          <w:rFonts w:ascii="Times New Roman" w:hAnsi="Times New Roman" w:cs="Times New Roman"/>
          <w:b/>
          <w:sz w:val="24"/>
          <w:lang w:val="en-US"/>
        </w:rPr>
        <w:t>Employee Benefits</w:t>
      </w:r>
      <w:r w:rsidR="006F5E21" w:rsidRPr="005039F1">
        <w:rPr>
          <w:rFonts w:ascii="Times New Roman" w:hAnsi="Times New Roman" w:cs="Times New Roman"/>
          <w:b/>
          <w:sz w:val="24"/>
          <w:lang w:val="en-US"/>
        </w:rPr>
        <w:t xml:space="preserve"> </w:t>
      </w:r>
    </w:p>
    <w:p w14:paraId="1AEA9698" w14:textId="77777777" w:rsidR="009353B8" w:rsidRPr="005039F1" w:rsidRDefault="009353B8" w:rsidP="009353B8">
      <w:pPr>
        <w:spacing w:after="0" w:line="280" w:lineRule="exact"/>
        <w:jc w:val="center"/>
        <w:rPr>
          <w:rFonts w:ascii="Times New Roman" w:hAnsi="Times New Roman" w:cs="Times New Roman"/>
          <w:b/>
          <w:sz w:val="24"/>
          <w:lang w:val="en-US"/>
        </w:rPr>
      </w:pPr>
    </w:p>
    <w:p w14:paraId="349FF6E6" w14:textId="77777777" w:rsidR="006F5E21" w:rsidRPr="005039F1" w:rsidRDefault="006F5E21" w:rsidP="006F5E21">
      <w:pPr>
        <w:spacing w:line="280" w:lineRule="exact"/>
        <w:jc w:val="center"/>
        <w:rPr>
          <w:rFonts w:ascii="Times New Roman" w:hAnsi="Times New Roman" w:cs="Times New Roman"/>
          <w:b/>
          <w:sz w:val="24"/>
          <w:lang w:val="en-US"/>
        </w:rPr>
      </w:pPr>
      <w:r w:rsidRPr="005039F1">
        <w:rPr>
          <w:rFonts w:ascii="Times New Roman" w:hAnsi="Times New Roman" w:cs="Times New Roman"/>
          <w:b/>
          <w:sz w:val="24"/>
          <w:lang w:val="en-US"/>
        </w:rPr>
        <w:t>IPSASB Basis for Conclusions</w:t>
      </w:r>
    </w:p>
    <w:p w14:paraId="77CF9970" w14:textId="77777777" w:rsidR="006F5E21" w:rsidRPr="005039F1" w:rsidRDefault="006F5E21" w:rsidP="006F5E21">
      <w:pPr>
        <w:spacing w:line="280" w:lineRule="exact"/>
        <w:rPr>
          <w:rFonts w:ascii="Times New Roman" w:hAnsi="Times New Roman" w:cs="Times New Roman"/>
          <w:lang w:val="en-US"/>
        </w:rPr>
      </w:pPr>
    </w:p>
    <w:p w14:paraId="723E4D41" w14:textId="77777777" w:rsidR="006F5E21" w:rsidRPr="005039F1" w:rsidRDefault="006F5E21" w:rsidP="006F5E21">
      <w:pPr>
        <w:pStyle w:val="BodyText"/>
      </w:pPr>
      <w:r w:rsidRPr="005039F1">
        <w:t>International Public Sector Accounting Standards</w:t>
      </w:r>
      <w:r w:rsidRPr="005039F1">
        <w:rPr>
          <w:vertAlign w:val="superscript"/>
        </w:rPr>
        <w:t>™</w:t>
      </w:r>
      <w:r w:rsidRPr="005039F1">
        <w:t>, Exposure Drafts, Consultation Papers, Recommended Practice Guidelines, and other IPSASB</w:t>
      </w:r>
      <w:r w:rsidRPr="005039F1">
        <w:rPr>
          <w:vertAlign w:val="superscript"/>
        </w:rPr>
        <w:t>®</w:t>
      </w:r>
      <w:r w:rsidRPr="005039F1">
        <w:t xml:space="preserve"> publications are published by, and copyright of, IFAC</w:t>
      </w:r>
      <w:r w:rsidRPr="005039F1">
        <w:rPr>
          <w:vertAlign w:val="superscript"/>
        </w:rPr>
        <w:t>®</w:t>
      </w:r>
      <w:r w:rsidRPr="005039F1">
        <w:t>.</w:t>
      </w:r>
    </w:p>
    <w:p w14:paraId="5B26A249" w14:textId="77777777" w:rsidR="006F5E21" w:rsidRPr="005039F1" w:rsidRDefault="006F5E21" w:rsidP="006F5E21">
      <w:pPr>
        <w:pStyle w:val="BodyText"/>
      </w:pPr>
      <w:r w:rsidRPr="005039F1">
        <w:t>The IPSASB and IFAC do not accept responsibility for loss caused to any person who acts or refrains from acting in reliance on the material in this publication, whether such loss is caused by negligence or otherwise.</w:t>
      </w:r>
    </w:p>
    <w:p w14:paraId="742CA51B" w14:textId="6D466A61" w:rsidR="006F5E21" w:rsidRPr="005039F1" w:rsidRDefault="006F5E21" w:rsidP="006F5E21">
      <w:pPr>
        <w:pStyle w:val="BodyText"/>
      </w:pPr>
      <w:r w:rsidRPr="005039F1">
        <w:t>The IPSASB logo, ‘International Public Sector Accounting Standards Board</w:t>
      </w:r>
      <w:r w:rsidRPr="005039F1">
        <w:rPr>
          <w:vertAlign w:val="superscript"/>
        </w:rPr>
        <w:t>®</w:t>
      </w:r>
      <w:r w:rsidRPr="005039F1">
        <w:t>, ‘IPSASB’, ‘International Public Sector Accounting Standards’ ‘IPSAS</w:t>
      </w:r>
      <w:r w:rsidRPr="005039F1">
        <w:rPr>
          <w:vertAlign w:val="superscript"/>
        </w:rPr>
        <w:t>™</w:t>
      </w:r>
      <w:r w:rsidRPr="005039F1">
        <w:t>, ‘Recommended Practice Guidelines,’ the IFAC logo, ‘International Federation of Accountants</w:t>
      </w:r>
      <w:r w:rsidRPr="005039F1">
        <w:rPr>
          <w:vertAlign w:val="superscript"/>
        </w:rPr>
        <w:t>®</w:t>
      </w:r>
      <w:r w:rsidRPr="005039F1">
        <w:t>, and ‘IFAC’ are trademarks or registered trademarks and service marks of IFAC.</w:t>
      </w:r>
    </w:p>
    <w:p w14:paraId="6FC6EDCC" w14:textId="77777777" w:rsidR="006F5E21" w:rsidRPr="005039F1" w:rsidRDefault="006F5E21" w:rsidP="006F5E21">
      <w:pPr>
        <w:pStyle w:val="BodyText"/>
      </w:pPr>
      <w:bookmarkStart w:id="0" w:name="copyright"/>
      <w:bookmarkEnd w:id="0"/>
      <w:r w:rsidRPr="005039F1">
        <w:t xml:space="preserve">Copyright © </w:t>
      </w:r>
      <w:r w:rsidR="009353B8" w:rsidRPr="005039F1">
        <w:t>July 2016</w:t>
      </w:r>
      <w:r w:rsidRPr="005039F1">
        <w:t xml:space="preserve"> by the International Federation of Accountants (IFAC). All rights reserved. Written permission from IFAC is required to reproduce, store, transmit, or make other similar uses of this document, except as permitted by law. Contact permissions@ifac.org.</w:t>
      </w:r>
    </w:p>
    <w:p w14:paraId="3D9DA804" w14:textId="77777777" w:rsidR="006F5E21" w:rsidRPr="005039F1" w:rsidRDefault="006F5E21" w:rsidP="006F5E21">
      <w:pPr>
        <w:pStyle w:val="BodyText"/>
      </w:pPr>
    </w:p>
    <w:p w14:paraId="6443737F" w14:textId="77777777" w:rsidR="009353B8" w:rsidRPr="005039F1" w:rsidRDefault="009353B8">
      <w:pPr>
        <w:rPr>
          <w:rFonts w:ascii="Times New Roman" w:hAnsi="Times New Roman" w:cs="Times New Roman"/>
          <w:lang w:val="en-US"/>
        </w:rPr>
      </w:pPr>
    </w:p>
    <w:p w14:paraId="0AB2CB5F" w14:textId="77777777" w:rsidR="00E724FD" w:rsidRPr="005039F1" w:rsidRDefault="00E724FD">
      <w:pPr>
        <w:rPr>
          <w:rFonts w:ascii="Arial" w:hAnsi="Arial" w:cs="Arial"/>
          <w:szCs w:val="20"/>
          <w:lang w:val="en-US"/>
        </w:rPr>
      </w:pPr>
    </w:p>
    <w:p w14:paraId="0830B523" w14:textId="77777777" w:rsidR="00E724FD" w:rsidRPr="005039F1" w:rsidRDefault="00E724FD">
      <w:pPr>
        <w:rPr>
          <w:rFonts w:ascii="Times New Roman" w:hAnsi="Times New Roman" w:cs="Times New Roman"/>
          <w:lang w:val="en-US"/>
        </w:rPr>
      </w:pPr>
    </w:p>
    <w:p w14:paraId="4FA1A6FA" w14:textId="77777777" w:rsidR="00E724FD" w:rsidRPr="005039F1" w:rsidRDefault="00E724FD">
      <w:pPr>
        <w:rPr>
          <w:rFonts w:ascii="Times New Roman" w:hAnsi="Times New Roman" w:cs="Times New Roman"/>
          <w:lang w:val="en-US"/>
        </w:rPr>
      </w:pPr>
    </w:p>
    <w:p w14:paraId="078FA58E" w14:textId="77777777" w:rsidR="00E724FD" w:rsidRPr="005039F1" w:rsidRDefault="00E724FD">
      <w:pPr>
        <w:rPr>
          <w:rFonts w:ascii="Times New Roman" w:hAnsi="Times New Roman" w:cs="Times New Roman"/>
          <w:lang w:val="en-US"/>
        </w:rPr>
      </w:pPr>
    </w:p>
    <w:p w14:paraId="2CCEFF2B" w14:textId="77777777" w:rsidR="00E724FD" w:rsidRPr="005039F1" w:rsidRDefault="00E724FD">
      <w:pPr>
        <w:rPr>
          <w:rFonts w:ascii="Times New Roman" w:hAnsi="Times New Roman" w:cs="Times New Roman"/>
          <w:lang w:val="en-US"/>
        </w:rPr>
      </w:pPr>
    </w:p>
    <w:p w14:paraId="1C1FF282" w14:textId="77777777" w:rsidR="00E724FD" w:rsidRPr="005039F1" w:rsidRDefault="00E724FD">
      <w:pPr>
        <w:rPr>
          <w:rFonts w:ascii="Times New Roman" w:hAnsi="Times New Roman" w:cs="Times New Roman"/>
          <w:lang w:val="en-US"/>
        </w:rPr>
      </w:pPr>
    </w:p>
    <w:p w14:paraId="10A72F8F" w14:textId="77777777" w:rsidR="00E724FD" w:rsidRPr="005039F1" w:rsidRDefault="00E724FD">
      <w:pPr>
        <w:rPr>
          <w:rFonts w:ascii="Times New Roman" w:hAnsi="Times New Roman" w:cs="Times New Roman"/>
          <w:lang w:val="en-US"/>
        </w:rPr>
      </w:pPr>
    </w:p>
    <w:p w14:paraId="78D83B9D" w14:textId="77777777" w:rsidR="00E724FD" w:rsidRPr="005039F1" w:rsidRDefault="00E724FD">
      <w:pPr>
        <w:rPr>
          <w:rFonts w:ascii="Times New Roman" w:hAnsi="Times New Roman" w:cs="Times New Roman"/>
          <w:lang w:val="en-US"/>
        </w:rPr>
      </w:pPr>
    </w:p>
    <w:p w14:paraId="1A73FEDB" w14:textId="77777777" w:rsidR="00E724FD" w:rsidRPr="005039F1" w:rsidRDefault="00E724FD">
      <w:pPr>
        <w:rPr>
          <w:rFonts w:ascii="Times New Roman" w:hAnsi="Times New Roman" w:cs="Times New Roman"/>
          <w:lang w:val="en-US"/>
        </w:rPr>
      </w:pPr>
    </w:p>
    <w:p w14:paraId="6F04E51B" w14:textId="77777777" w:rsidR="00E724FD" w:rsidRPr="005039F1" w:rsidRDefault="00E724FD">
      <w:pPr>
        <w:rPr>
          <w:rFonts w:ascii="Times New Roman" w:hAnsi="Times New Roman" w:cs="Times New Roman"/>
          <w:lang w:val="en-US"/>
        </w:rPr>
      </w:pPr>
    </w:p>
    <w:p w14:paraId="29D63CF0" w14:textId="77777777" w:rsidR="00E724FD" w:rsidRPr="005039F1" w:rsidRDefault="00E724FD">
      <w:pPr>
        <w:rPr>
          <w:rFonts w:ascii="Times New Roman" w:hAnsi="Times New Roman" w:cs="Times New Roman"/>
          <w:lang w:val="en-US"/>
        </w:rPr>
      </w:pPr>
    </w:p>
    <w:p w14:paraId="1AEC8E0B" w14:textId="77777777" w:rsidR="00E724FD" w:rsidRPr="005039F1" w:rsidRDefault="00E724FD">
      <w:pPr>
        <w:rPr>
          <w:rFonts w:ascii="Times New Roman" w:hAnsi="Times New Roman" w:cs="Times New Roman"/>
          <w:lang w:val="en-US"/>
        </w:rPr>
      </w:pPr>
    </w:p>
    <w:p w14:paraId="00120116" w14:textId="77777777" w:rsidR="00916129" w:rsidRPr="005039F1" w:rsidRDefault="00F901FE">
      <w:pPr>
        <w:rPr>
          <w:rFonts w:ascii="Times New Roman" w:hAnsi="Times New Roman" w:cs="Times New Roman"/>
          <w:lang w:val="en-US"/>
        </w:rPr>
      </w:pPr>
      <w:r w:rsidRPr="005039F1">
        <w:rPr>
          <w:noProof/>
          <w:lang w:eastAsia="en-NZ"/>
        </w:rPr>
        <mc:AlternateContent>
          <mc:Choice Requires="wpg">
            <w:drawing>
              <wp:anchor distT="0" distB="0" distL="114300" distR="114300" simplePos="0" relativeHeight="251661312" behindDoc="0" locked="0" layoutInCell="1" allowOverlap="1" wp14:anchorId="135A1F91" wp14:editId="0379CBE8">
                <wp:simplePos x="0" y="0"/>
                <wp:positionH relativeFrom="margin">
                  <wp:align>center</wp:align>
                </wp:positionH>
                <wp:positionV relativeFrom="page">
                  <wp:posOffset>9107805</wp:posOffset>
                </wp:positionV>
                <wp:extent cx="2814955" cy="457200"/>
                <wp:effectExtent l="0" t="0" r="444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955" cy="457200"/>
                          <a:chOff x="0" y="6688"/>
                          <a:chExt cx="2819400" cy="443823"/>
                        </a:xfrm>
                      </wpg:grpSpPr>
                      <pic:pic xmlns:pic="http://schemas.openxmlformats.org/drawingml/2006/picture">
                        <pic:nvPicPr>
                          <pic:cNvPr id="12" name="Picture 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457325" y="6688"/>
                            <a:ext cx="1362075" cy="443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0"/>
                        <wps:cNvSpPr txBox="1">
                          <a:spLocks noChangeArrowheads="1"/>
                        </wps:cNvSpPr>
                        <wps:spPr bwMode="auto">
                          <a:xfrm>
                            <a:off x="0" y="85725"/>
                            <a:ext cx="1348740" cy="364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E0ABE8" w14:textId="77777777" w:rsidR="009353B8" w:rsidRPr="00CB51C2" w:rsidRDefault="009353B8" w:rsidP="009353B8">
                              <w:pPr>
                                <w:jc w:val="right"/>
                                <w:rPr>
                                  <w:rFonts w:ascii="Arial" w:hAnsi="Arial" w:cs="Arial"/>
                                  <w:szCs w:val="20"/>
                                </w:rPr>
                              </w:pPr>
                              <w:r w:rsidRPr="00CB51C2">
                                <w:rPr>
                                  <w:rFonts w:ascii="Arial" w:hAnsi="Arial" w:cs="Arial"/>
                                  <w:szCs w:val="20"/>
                                </w:rPr>
                                <w:t>Published by:</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35A1F91" id="Group 11" o:spid="_x0000_s1026" style="position:absolute;margin-left:0;margin-top:717.15pt;width:221.65pt;height:36pt;z-index:251661312;mso-position-horizontal:center;mso-position-horizontal-relative:margin;mso-position-vertical-relative:page;mso-width-relative:margin" coordorigin=",66" coordsize="28194,4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573;top:66;width:13621;height:4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">
                  <v:imagedata r:id="rId10" o:title=""/>
                  <v:path arrowok="t"/>
                </v:shape>
                <v:shapetype id="_x0000_t202" coordsize="21600,21600" o:spt="202" path="m,l,21600r21600,l21600,xe">
                  <v:stroke joinstyle="miter"/>
                  <v:path gradientshapeok="t" o:connecttype="rect"/>
                </v:shapetype>
                <v:shape id="Text Box 10" o:spid="_x0000_s1028" type="#_x0000_t202" style="position:absolute;top:857;width:13487;height:3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5E0ABE8" w14:textId="77777777" w:rsidR="009353B8" w:rsidRPr="00CB51C2" w:rsidRDefault="009353B8" w:rsidP="009353B8">
                        <w:pPr>
                          <w:jc w:val="right"/>
                          <w:rPr>
                            <w:rFonts w:ascii="Arial" w:hAnsi="Arial" w:cs="Arial"/>
                            <w:szCs w:val="20"/>
                          </w:rPr>
                        </w:pPr>
                        <w:r w:rsidRPr="00CB51C2">
                          <w:rPr>
                            <w:rFonts w:ascii="Arial" w:hAnsi="Arial" w:cs="Arial"/>
                            <w:szCs w:val="20"/>
                          </w:rPr>
                          <w:t>Published by:</w:t>
                        </w:r>
                      </w:p>
                    </w:txbxContent>
                  </v:textbox>
                </v:shape>
                <w10:wrap anchorx="margin" anchory="page"/>
              </v:group>
            </w:pict>
          </mc:Fallback>
        </mc:AlternateContent>
      </w:r>
    </w:p>
    <w:p w14:paraId="4DC0483D" w14:textId="77777777" w:rsidR="00E724FD" w:rsidRPr="005039F1" w:rsidRDefault="00E724FD">
      <w:pPr>
        <w:rPr>
          <w:rFonts w:ascii="Times New Roman" w:hAnsi="Times New Roman" w:cs="Times New Roman"/>
          <w:lang w:val="en-US"/>
        </w:rPr>
      </w:pPr>
    </w:p>
    <w:p w14:paraId="64A01C2F" w14:textId="77777777" w:rsidR="00E724FD" w:rsidRPr="005039F1" w:rsidRDefault="00E724FD">
      <w:pPr>
        <w:rPr>
          <w:rFonts w:ascii="Times New Roman" w:hAnsi="Times New Roman" w:cs="Times New Roman"/>
          <w:lang w:val="en-US"/>
        </w:rPr>
      </w:pPr>
    </w:p>
    <w:p w14:paraId="6D661E3F" w14:textId="77777777" w:rsidR="00E724FD" w:rsidRPr="005039F1" w:rsidRDefault="00E724FD" w:rsidP="00E724FD">
      <w:pPr>
        <w:pStyle w:val="Heading2NoSpaceBefore"/>
        <w:keepNext w:val="0"/>
        <w:keepLines w:val="0"/>
        <w:spacing w:before="120" w:after="200" w:line="240" w:lineRule="exact"/>
        <w:rPr>
          <w:rFonts w:ascii="Times New Roman" w:hAnsi="Times New Roman" w:cs="Times New Roman"/>
        </w:rPr>
      </w:pPr>
      <w:r w:rsidRPr="005039F1">
        <w:rPr>
          <w:rFonts w:ascii="Times New Roman" w:hAnsi="Times New Roman" w:cs="Times New Roman"/>
        </w:rPr>
        <w:lastRenderedPageBreak/>
        <w:t>Basis for Conclusions</w:t>
      </w:r>
    </w:p>
    <w:p w14:paraId="01A35BAA" w14:textId="77777777" w:rsidR="00E724FD" w:rsidRPr="005039F1" w:rsidRDefault="00E724FD" w:rsidP="00E724FD">
      <w:pPr>
        <w:pStyle w:val="Heading4Stacked"/>
        <w:keepNext w:val="0"/>
        <w:keepLines w:val="0"/>
        <w:spacing w:before="180" w:line="240" w:lineRule="exact"/>
        <w:rPr>
          <w:rFonts w:ascii="Times New Roman" w:hAnsi="Times New Roman" w:cs="Times New Roman"/>
        </w:rPr>
      </w:pPr>
      <w:r w:rsidRPr="005039F1">
        <w:rPr>
          <w:rFonts w:ascii="Times New Roman" w:hAnsi="Times New Roman" w:cs="Times New Roman"/>
        </w:rPr>
        <w:t>This Basis for Conclusions accompanies, but is not part of, IPSAS 39.</w:t>
      </w:r>
    </w:p>
    <w:p w14:paraId="73003723" w14:textId="77777777" w:rsidR="00E724FD" w:rsidRPr="005039F1" w:rsidRDefault="00E724FD" w:rsidP="00E724FD">
      <w:pPr>
        <w:pStyle w:val="Heading4Stacked"/>
        <w:keepLines w:val="0"/>
        <w:spacing w:before="180" w:line="240" w:lineRule="exact"/>
        <w:rPr>
          <w:rFonts w:ascii="Times New Roman" w:hAnsi="Times New Roman" w:cs="Times New Roman"/>
          <w:color w:val="000000"/>
        </w:rPr>
      </w:pPr>
      <w:r w:rsidRPr="005039F1">
        <w:rPr>
          <w:rFonts w:ascii="Times New Roman" w:hAnsi="Times New Roman" w:cs="Times New Roman"/>
          <w:color w:val="000000"/>
        </w:rPr>
        <w:t>Objective</w:t>
      </w:r>
    </w:p>
    <w:p w14:paraId="6A502443"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color w:val="000000"/>
        </w:rPr>
      </w:pPr>
      <w:r w:rsidRPr="005039F1">
        <w:rPr>
          <w:rFonts w:ascii="Times New Roman" w:hAnsi="Times New Roman" w:cs="Times New Roman"/>
          <w:color w:val="000000"/>
        </w:rPr>
        <w:t>BC1.</w:t>
      </w:r>
      <w:r w:rsidRPr="005039F1">
        <w:rPr>
          <w:rFonts w:ascii="Times New Roman" w:hAnsi="Times New Roman" w:cs="Times New Roman"/>
          <w:color w:val="000000"/>
        </w:rPr>
        <w:tab/>
        <w:t xml:space="preserve">IPSAS 25 (2008), </w:t>
      </w:r>
      <w:r w:rsidRPr="005039F1">
        <w:rPr>
          <w:rFonts w:ascii="Times New Roman" w:hAnsi="Times New Roman" w:cs="Times New Roman"/>
          <w:i/>
          <w:color w:val="000000"/>
        </w:rPr>
        <w:t xml:space="preserve">Employee Benefits, </w:t>
      </w:r>
      <w:r w:rsidRPr="005039F1">
        <w:rPr>
          <w:rFonts w:ascii="Times New Roman" w:hAnsi="Times New Roman" w:cs="Times New Roman"/>
          <w:color w:val="000000"/>
        </w:rPr>
        <w:t xml:space="preserve">was drawn primarily from International Accounting Standard (IAS) 19 (2004), </w:t>
      </w:r>
      <w:r w:rsidRPr="005039F1">
        <w:rPr>
          <w:rFonts w:ascii="Times New Roman" w:hAnsi="Times New Roman" w:cs="Times New Roman"/>
          <w:i/>
          <w:color w:val="000000"/>
        </w:rPr>
        <w:t xml:space="preserve">Employee Benefits, </w:t>
      </w:r>
      <w:r w:rsidRPr="005039F1">
        <w:rPr>
          <w:rFonts w:ascii="Times New Roman" w:hAnsi="Times New Roman" w:cs="Times New Roman"/>
          <w:color w:val="000000"/>
        </w:rPr>
        <w:t xml:space="preserve">issued by the International Accounting Standards Board (IASB). The IASB made a number of amendments to IAS 19 in the 2011–2015 period. </w:t>
      </w:r>
    </w:p>
    <w:p w14:paraId="1F8C0EF6"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color w:val="000000"/>
        </w:rPr>
        <w:t>BC2.</w:t>
      </w:r>
      <w:r w:rsidRPr="005039F1">
        <w:rPr>
          <w:rFonts w:ascii="Times New Roman" w:hAnsi="Times New Roman" w:cs="Times New Roman"/>
          <w:color w:val="000000"/>
        </w:rPr>
        <w:tab/>
        <w:t>In order to update IPSAS 25, the IPSASB approved a limited scope review of IPSAS 25 to converge with the revised IAS 19. The IPSASB decided not to reopen the public sector</w:t>
      </w:r>
      <w:r w:rsidRPr="005039F1">
        <w:rPr>
          <w:rFonts w:ascii="Times New Roman" w:hAnsi="Times New Roman" w:cs="Times New Roman"/>
        </w:rPr>
        <w:t xml:space="preserve"> specific requirements in IPSAS 25, except for the section on Composite Social Security Programs (see paragraphs BC5 and BC6 below).</w:t>
      </w:r>
    </w:p>
    <w:p w14:paraId="5B26A711"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color w:val="000000"/>
        </w:rPr>
      </w:pPr>
      <w:r w:rsidRPr="005039F1">
        <w:rPr>
          <w:rFonts w:ascii="Times New Roman" w:hAnsi="Times New Roman" w:cs="Times New Roman"/>
        </w:rPr>
        <w:t>BC3.</w:t>
      </w:r>
      <w:r w:rsidRPr="005039F1">
        <w:rPr>
          <w:rFonts w:ascii="Times New Roman" w:hAnsi="Times New Roman" w:cs="Times New Roman"/>
        </w:rPr>
        <w:tab/>
        <w:t xml:space="preserve">In January 2016, the IPSASB issued Exposure Draft (ED) 59, </w:t>
      </w:r>
      <w:r w:rsidRPr="005039F1">
        <w:rPr>
          <w:rFonts w:ascii="Times New Roman" w:hAnsi="Times New Roman" w:cs="Times New Roman"/>
          <w:i/>
        </w:rPr>
        <w:t>Amendments to IPSAS 25,</w:t>
      </w:r>
      <w:r w:rsidRPr="005039F1">
        <w:rPr>
          <w:rFonts w:ascii="Times New Roman" w:hAnsi="Times New Roman" w:cs="Times New Roman"/>
        </w:rPr>
        <w:t xml:space="preserve"> </w:t>
      </w:r>
      <w:r w:rsidRPr="005039F1">
        <w:rPr>
          <w:rFonts w:ascii="Times New Roman" w:hAnsi="Times New Roman" w:cs="Times New Roman"/>
          <w:i/>
        </w:rPr>
        <w:t xml:space="preserve">Employee Benefits. </w:t>
      </w:r>
      <w:r w:rsidRPr="005039F1">
        <w:rPr>
          <w:rFonts w:ascii="Times New Roman" w:hAnsi="Times New Roman" w:cs="Times New Roman"/>
        </w:rPr>
        <w:t xml:space="preserve">ED 59 proposed amendments to maintain convergence with IAS 19. The proposed amendments made a large number of changes to the text of IPSAS 25. A number of respondents expressed reservations that the scale of these changes impaired the understandability of IPSAS 25. The IPSASB therefore decided to issue a new IPSAS 39, </w:t>
      </w:r>
      <w:r w:rsidRPr="005039F1">
        <w:rPr>
          <w:rFonts w:ascii="Times New Roman" w:hAnsi="Times New Roman" w:cs="Times New Roman"/>
          <w:i/>
        </w:rPr>
        <w:t>Employee Benefits</w:t>
      </w:r>
      <w:r w:rsidRPr="005039F1">
        <w:rPr>
          <w:rFonts w:ascii="Times New Roman" w:hAnsi="Times New Roman" w:cs="Times New Roman"/>
        </w:rPr>
        <w:t>, rather than a revised IPSAS 25, in order to help preparers.</w:t>
      </w:r>
    </w:p>
    <w:p w14:paraId="74E41DC0"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color w:val="000000"/>
        </w:rPr>
      </w:pPr>
      <w:r w:rsidRPr="005039F1">
        <w:rPr>
          <w:rFonts w:ascii="Times New Roman" w:hAnsi="Times New Roman" w:cs="Times New Roman"/>
          <w:color w:val="000000"/>
        </w:rPr>
        <w:t>BC4.</w:t>
      </w:r>
      <w:r w:rsidRPr="005039F1">
        <w:rPr>
          <w:rFonts w:ascii="Times New Roman" w:hAnsi="Times New Roman" w:cs="Times New Roman"/>
          <w:color w:val="000000"/>
        </w:rPr>
        <w:tab/>
        <w:t xml:space="preserve">This Basis for Conclusions summarizes the IPSASB’s considerations in reaching the conclusions in IPSAS 39, </w:t>
      </w:r>
      <w:r w:rsidRPr="005039F1">
        <w:rPr>
          <w:rFonts w:ascii="Times New Roman" w:hAnsi="Times New Roman" w:cs="Times New Roman"/>
          <w:i/>
          <w:color w:val="000000"/>
        </w:rPr>
        <w:t>Employee Benefits</w:t>
      </w:r>
      <w:r w:rsidRPr="005039F1">
        <w:rPr>
          <w:rFonts w:ascii="Times New Roman" w:hAnsi="Times New Roman" w:cs="Times New Roman"/>
          <w:color w:val="000000"/>
        </w:rPr>
        <w:t>. With the exception of Composite Social Security Programs, the Basis for Conclusions only considers those areas where IPSAS 39 departs from the main requirements of IAS 19 (amended in 2011 onwards), or where the IPSASB considered such departures.</w:t>
      </w:r>
    </w:p>
    <w:p w14:paraId="6E564223" w14:textId="77777777" w:rsidR="00E724FD" w:rsidRPr="005039F1" w:rsidRDefault="00E724FD" w:rsidP="00E724FD">
      <w:pPr>
        <w:pStyle w:val="Heading4Stacked"/>
        <w:keepLines w:val="0"/>
        <w:spacing w:before="180" w:line="240" w:lineRule="exact"/>
        <w:rPr>
          <w:rFonts w:ascii="Times New Roman" w:hAnsi="Times New Roman" w:cs="Times New Roman"/>
          <w:color w:val="000000"/>
        </w:rPr>
      </w:pPr>
      <w:r w:rsidRPr="005039F1">
        <w:rPr>
          <w:rFonts w:ascii="Times New Roman" w:hAnsi="Times New Roman" w:cs="Times New Roman"/>
          <w:color w:val="000000"/>
        </w:rPr>
        <w:t>Composite Social Security Programs</w:t>
      </w:r>
    </w:p>
    <w:p w14:paraId="7E342E6C"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szCs w:val="20"/>
        </w:rPr>
      </w:pPr>
      <w:r w:rsidRPr="005039F1">
        <w:rPr>
          <w:rFonts w:ascii="Times New Roman" w:hAnsi="Times New Roman" w:cs="Times New Roman"/>
          <w:szCs w:val="20"/>
        </w:rPr>
        <w:t>BC5.</w:t>
      </w:r>
      <w:r w:rsidRPr="005039F1">
        <w:rPr>
          <w:rFonts w:ascii="Times New Roman" w:hAnsi="Times New Roman" w:cs="Times New Roman"/>
          <w:szCs w:val="20"/>
        </w:rPr>
        <w:tab/>
        <w:t xml:space="preserve">ED 59 indicated that the IPSASB was considering the deletion of the section on Composite Social Security Programs, because the IPSASB was not aware that it had been applied in any jurisdiction. The IPSASB specifically asked for comments on this issue. </w:t>
      </w:r>
    </w:p>
    <w:p w14:paraId="32E5F33A"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szCs w:val="20"/>
        </w:rPr>
      </w:pPr>
      <w:r w:rsidRPr="005039F1">
        <w:rPr>
          <w:rFonts w:ascii="Times New Roman" w:hAnsi="Times New Roman" w:cs="Times New Roman"/>
          <w:szCs w:val="20"/>
        </w:rPr>
        <w:t>BC6.</w:t>
      </w:r>
      <w:r w:rsidRPr="005039F1">
        <w:rPr>
          <w:rFonts w:ascii="Times New Roman" w:hAnsi="Times New Roman" w:cs="Times New Roman"/>
          <w:szCs w:val="20"/>
        </w:rPr>
        <w:tab/>
        <w:t>No respondent to ED 59 identified a jurisdiction where entities applied these requirements. The majority of respondents supported the deletion of the section on Composite Social Security Programs. As the IPSASB did not identify a new and compelling reason to retain the section, the IPSASB decided not to include it in IPSAS 39.</w:t>
      </w:r>
    </w:p>
    <w:p w14:paraId="3AB0B3A4" w14:textId="77777777" w:rsidR="00E724FD" w:rsidRPr="005039F1" w:rsidRDefault="00E724FD" w:rsidP="00E724FD">
      <w:pPr>
        <w:pStyle w:val="IFACListStyle1"/>
        <w:keepNext/>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i/>
          <w:szCs w:val="20"/>
        </w:rPr>
        <w:t>State Plans</w:t>
      </w:r>
    </w:p>
    <w:p w14:paraId="27E85D91"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BC7.</w:t>
      </w:r>
      <w:r w:rsidRPr="005039F1">
        <w:rPr>
          <w:rFonts w:ascii="Times New Roman" w:hAnsi="Times New Roman" w:cs="Times New Roman"/>
        </w:rPr>
        <w:tab/>
        <w:t>This Standard retains the requirement in IAS 19 that an entity accounts for a state plan in the same way as for a multi-employer plan. The IPSASB concluded that it should provide further commentary to clarify the approach to accounting for state plans by public sector entities as in IPSAS 25. Paragraph 47 provides a rebuttable presumption that the state plan will be characterized as a defined benefit plan by the controlling entity. Only where that presumption is rebutted is the state plan accounted for as a defined contribution plan.</w:t>
      </w:r>
    </w:p>
    <w:p w14:paraId="185A45FD" w14:textId="77777777" w:rsidR="00E724FD" w:rsidRPr="005039F1" w:rsidRDefault="00E724FD" w:rsidP="00E724FD">
      <w:pPr>
        <w:pStyle w:val="Heading4Stacked"/>
        <w:keepLines w:val="0"/>
        <w:spacing w:before="180" w:line="240" w:lineRule="exact"/>
        <w:rPr>
          <w:rFonts w:ascii="Times New Roman" w:hAnsi="Times New Roman" w:cs="Times New Roman"/>
          <w:color w:val="000000"/>
        </w:rPr>
      </w:pPr>
      <w:r w:rsidRPr="005039F1">
        <w:rPr>
          <w:rFonts w:ascii="Times New Roman" w:hAnsi="Times New Roman" w:cs="Times New Roman"/>
          <w:color w:val="000000"/>
        </w:rPr>
        <w:t>Defined Benefit Plans with Participating Entities under Common Control</w:t>
      </w:r>
    </w:p>
    <w:p w14:paraId="5A3BCB3B"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BC8.</w:t>
      </w:r>
      <w:r w:rsidRPr="005039F1">
        <w:rPr>
          <w:rFonts w:ascii="Times New Roman" w:hAnsi="Times New Roman" w:cs="Times New Roman"/>
        </w:rPr>
        <w:tab/>
        <w:t>In the public sector, there are likely to be many cases where entities under common control participate in defined benefit plans. IAS 19 includes commentary on defined benefit plans that share risks between entities under common control. The IPSASB considered that the requirements in IAS 19 are appropriate in the public sector. The IPSASB also considered it appropriate to emphasize that, unless there is a contractual agreement, binding arrangement, or stated policy for charging the net defined benefit cost for the plan as a whole to an individual entity, it is inappropriate for controlled entities to account on a defined benefit basis as in IPSAS 25. In such cases, the controlling entity should account for such plans on a defined benefit basis in its consolidated financial statements. Controlled entities (a) account on a defined contribution basis, (b) identify the controlling entity, and (c) disclose that the controlling entity is accounting on a defined benefit basis in its consolidated financial statements. This is reflected in paragraph 42. Controlled entities also make the disclosures specified in paragraph 151.</w:t>
      </w:r>
    </w:p>
    <w:p w14:paraId="42F08BD9" w14:textId="77777777" w:rsidR="00E724FD" w:rsidRPr="005039F1" w:rsidRDefault="00E724FD" w:rsidP="00E724FD">
      <w:pPr>
        <w:pStyle w:val="Heading4Stacked"/>
        <w:keepLines w:val="0"/>
        <w:spacing w:before="180" w:line="240" w:lineRule="exact"/>
        <w:rPr>
          <w:rFonts w:ascii="Times New Roman" w:hAnsi="Times New Roman" w:cs="Times New Roman"/>
          <w:color w:val="000000"/>
        </w:rPr>
      </w:pPr>
      <w:r w:rsidRPr="005039F1">
        <w:rPr>
          <w:rFonts w:ascii="Times New Roman" w:hAnsi="Times New Roman" w:cs="Times New Roman"/>
          <w:color w:val="000000"/>
        </w:rPr>
        <w:lastRenderedPageBreak/>
        <w:t>Discount Rates</w:t>
      </w:r>
    </w:p>
    <w:p w14:paraId="2131CF83"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BC9.</w:t>
      </w:r>
      <w:r w:rsidRPr="005039F1">
        <w:rPr>
          <w:rFonts w:ascii="Times New Roman" w:hAnsi="Times New Roman" w:cs="Times New Roman"/>
        </w:rPr>
        <w:tab/>
        <w:t>IAS 19 requires adoption of a discount rate based on the market yields at the end of the reporting period on high quality corporate bonds. The IPSASB decided that the discount rate should reflect the time value of money, and considered that entities should be left to determine the rate that best achieves that objective in the same way as in IPSAS 25. The IPSASB considered that the time value of money may be best reflected by reference to market yields on government bonds, high quality corporate bonds, or any other financial instrument. The discount rate used is not intended to incorporate the risk associated with defined benefit obligations or entity-specific credit risk. There is an additional disclosure requirement at paragraph 141(d) informing users of the basis on which the discount rate has been determined.</w:t>
      </w:r>
    </w:p>
    <w:p w14:paraId="0EF2999A"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BC10.</w:t>
      </w:r>
      <w:r w:rsidRPr="005039F1">
        <w:rPr>
          <w:rFonts w:ascii="Times New Roman" w:hAnsi="Times New Roman" w:cs="Times New Roman"/>
        </w:rPr>
        <w:tab/>
        <w:t>The IPSASB considered whether it should provide guidance to assist entities operating in jurisdictions where there is neither a deep market in government bonds nor a deep market in high quality corporate bonds to determine a discount rate that reflects the time value of money. The IPSASB acknowledges that determination of an appropriate discount rate is likely to be a difficult issue for entities operating in such jurisdictions, and that such entities may be in the process of migrating, or have recently migrated, to the accrual basis of accounting. However, the IPSASB concluded that this is not an issue that applies only in the public sector, and that there is an insufficiently clear public sector-specific reason to provide such guidance.</w:t>
      </w:r>
    </w:p>
    <w:p w14:paraId="0BFB6797" w14:textId="77777777" w:rsidR="00E724FD" w:rsidRPr="005039F1" w:rsidRDefault="00E724FD" w:rsidP="00E724FD">
      <w:pPr>
        <w:pStyle w:val="Heading4Stacked"/>
        <w:keepLines w:val="0"/>
        <w:spacing w:before="180" w:line="240" w:lineRule="exact"/>
        <w:rPr>
          <w:rFonts w:ascii="Times New Roman" w:hAnsi="Times New Roman" w:cs="Times New Roman"/>
          <w:color w:val="000000"/>
        </w:rPr>
      </w:pPr>
      <w:r w:rsidRPr="005039F1">
        <w:rPr>
          <w:rFonts w:ascii="Times New Roman" w:hAnsi="Times New Roman" w:cs="Times New Roman"/>
          <w:color w:val="000000"/>
        </w:rPr>
        <w:t>Other Long-Term Employee Benefits: Long-Term Disability Benefits</w:t>
      </w:r>
    </w:p>
    <w:p w14:paraId="46C1B9A3" w14:textId="77777777" w:rsidR="00E724FD" w:rsidRPr="005039F1" w:rsidRDefault="00E724FD" w:rsidP="00E724FD">
      <w:pPr>
        <w:pStyle w:val="IFACListStyle1"/>
        <w:numPr>
          <w:ilvl w:val="0"/>
          <w:numId w:val="0"/>
        </w:numPr>
        <w:tabs>
          <w:tab w:val="clear" w:pos="547"/>
          <w:tab w:val="left" w:pos="993"/>
        </w:tabs>
        <w:spacing w:line="240" w:lineRule="exact"/>
        <w:ind w:left="709" w:hanging="709"/>
        <w:rPr>
          <w:rFonts w:ascii="Times New Roman" w:hAnsi="Times New Roman" w:cs="Times New Roman"/>
        </w:rPr>
      </w:pPr>
      <w:r w:rsidRPr="005039F1">
        <w:rPr>
          <w:rFonts w:ascii="Times New Roman" w:hAnsi="Times New Roman" w:cs="Times New Roman"/>
        </w:rPr>
        <w:t>BC11.</w:t>
      </w:r>
      <w:r w:rsidRPr="005039F1">
        <w:rPr>
          <w:rFonts w:ascii="Times New Roman" w:hAnsi="Times New Roman" w:cs="Times New Roman"/>
        </w:rPr>
        <w:tab/>
      </w:r>
      <w:r w:rsidRPr="005039F1">
        <w:rPr>
          <w:rFonts w:ascii="Times New Roman" w:hAnsi="Times New Roman" w:cs="Times New Roman"/>
          <w:bCs/>
        </w:rPr>
        <w:t>IAS 19 lists long-term disability benefits as an example of an “other long-term employee benefit.” IAS 19 states that “the measurement of other long-term employee benefits is not usually subject to the same degree of uncertainty as the measurement of post-employment benefits.”  In the public sector, disability benefits related to certain areas of service provision, such as the military, may be financially highly significant, and related actuarial gains or losses volatile.</w:t>
      </w:r>
    </w:p>
    <w:p w14:paraId="10FB7B62" w14:textId="77777777" w:rsidR="00E724FD" w:rsidRPr="005039F1" w:rsidRDefault="00E724FD" w:rsidP="00E724FD">
      <w:pPr>
        <w:pStyle w:val="IFACListStyle1"/>
        <w:numPr>
          <w:ilvl w:val="0"/>
          <w:numId w:val="0"/>
        </w:numPr>
        <w:tabs>
          <w:tab w:val="clear" w:pos="547"/>
          <w:tab w:val="left" w:pos="993"/>
        </w:tabs>
        <w:spacing w:line="240" w:lineRule="exact"/>
        <w:ind w:left="709" w:hanging="709"/>
        <w:rPr>
          <w:rFonts w:ascii="Times New Roman" w:hAnsi="Times New Roman" w:cs="Times New Roman"/>
        </w:rPr>
      </w:pPr>
      <w:r w:rsidRPr="005039F1">
        <w:rPr>
          <w:rFonts w:ascii="Times New Roman" w:hAnsi="Times New Roman" w:cs="Times New Roman"/>
        </w:rPr>
        <w:t>BC12.</w:t>
      </w:r>
      <w:r w:rsidRPr="005039F1">
        <w:rPr>
          <w:rFonts w:ascii="Times New Roman" w:hAnsi="Times New Roman" w:cs="Times New Roman"/>
        </w:rPr>
        <w:tab/>
        <w:t>Therefore, IPSAS 39 retains the rebuttable presumption included in IPSAS 25 that long-term disability payments are not usually subject to the same degree of uncertainty as the measurement of post-employment benefits. Where this presumption is rebutted, the entity considers whether some or all long-term disability payments should be accounted for using the same requirements as for post-employment benefits.</w:t>
      </w:r>
    </w:p>
    <w:p w14:paraId="1AB917ED" w14:textId="77777777" w:rsidR="00E724FD" w:rsidRPr="005039F1" w:rsidRDefault="00E724FD" w:rsidP="00E724FD">
      <w:pPr>
        <w:pStyle w:val="Heading4Stacked"/>
        <w:keepLines w:val="0"/>
        <w:spacing w:before="180" w:line="240" w:lineRule="exact"/>
        <w:rPr>
          <w:rFonts w:ascii="Times New Roman" w:hAnsi="Times New Roman" w:cs="Times New Roman"/>
          <w:color w:val="000000"/>
        </w:rPr>
      </w:pPr>
      <w:r w:rsidRPr="005039F1">
        <w:rPr>
          <w:rFonts w:ascii="Times New Roman" w:hAnsi="Times New Roman" w:cs="Times New Roman"/>
          <w:color w:val="000000"/>
        </w:rPr>
        <w:t>Other Long-Term Employee Benefits: Compensation Payable by the Reporting Entity until an Individual Enters New Employment</w:t>
      </w:r>
    </w:p>
    <w:p w14:paraId="49D790DA"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BC13.</w:t>
      </w:r>
      <w:r w:rsidRPr="005039F1">
        <w:rPr>
          <w:rFonts w:ascii="Times New Roman" w:hAnsi="Times New Roman" w:cs="Times New Roman"/>
        </w:rPr>
        <w:tab/>
      </w:r>
      <w:r w:rsidRPr="005039F1">
        <w:rPr>
          <w:rFonts w:ascii="Times New Roman" w:hAnsi="Times New Roman" w:cs="Times New Roman"/>
          <w:bCs/>
        </w:rPr>
        <w:t>Although it does not consider it likely that such circumstances are widespread, the IPSASB acknowledged that there may be cases where a reporting entity is contractually bound to make compensation payments separate from a termination benefit to a past employee until he/she enters new employment. The list of other long-term benefits in paragraph 155 was therefore amended to include such circumstances, as in IPSAS 25.</w:t>
      </w:r>
    </w:p>
    <w:p w14:paraId="6DDCC60C" w14:textId="77777777" w:rsidR="00E724FD" w:rsidRPr="005039F1" w:rsidRDefault="00E724FD" w:rsidP="00E724FD">
      <w:pPr>
        <w:pStyle w:val="Heading4Stacked"/>
        <w:keepLines w:val="0"/>
        <w:spacing w:before="180" w:line="240" w:lineRule="exact"/>
        <w:rPr>
          <w:rFonts w:ascii="Times New Roman" w:hAnsi="Times New Roman" w:cs="Times New Roman"/>
          <w:color w:val="000000"/>
        </w:rPr>
      </w:pPr>
      <w:r w:rsidRPr="005039F1">
        <w:rPr>
          <w:rFonts w:ascii="Times New Roman" w:hAnsi="Times New Roman" w:cs="Times New Roman"/>
          <w:color w:val="000000"/>
        </w:rPr>
        <w:t>Remeasurements</w:t>
      </w:r>
    </w:p>
    <w:p w14:paraId="49A6A5CE"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BC14.</w:t>
      </w:r>
      <w:r w:rsidRPr="005039F1">
        <w:rPr>
          <w:rFonts w:ascii="Times New Roman" w:hAnsi="Times New Roman" w:cs="Times New Roman"/>
        </w:rPr>
        <w:tab/>
        <w:t xml:space="preserve">IAS 19 (amended in 2011) recognizes remeasurements of the net defined liability (asset) in other comprehensive income rather than in profit or loss. The IPSASB noted that </w:t>
      </w:r>
      <w:r w:rsidRPr="005039F1">
        <w:rPr>
          <w:rFonts w:ascii="Times New Roman" w:hAnsi="Times New Roman" w:cs="Times New Roman"/>
          <w:i/>
        </w:rPr>
        <w:t>The Conceptual Framework for General Purpose Financial Reporting by Public Sector Entities</w:t>
      </w:r>
      <w:r w:rsidRPr="005039F1">
        <w:rPr>
          <w:rFonts w:ascii="Times New Roman" w:hAnsi="Times New Roman" w:cs="Times New Roman"/>
        </w:rPr>
        <w:t xml:space="preserve"> does not acknowledge “other comprehensive income”, and that “other comprehensive income” is not a defined term in IPSAS 1, </w:t>
      </w:r>
      <w:r w:rsidRPr="005039F1">
        <w:rPr>
          <w:rFonts w:ascii="Times New Roman" w:hAnsi="Times New Roman" w:cs="Times New Roman"/>
          <w:i/>
        </w:rPr>
        <w:t>Presentation of Financial Statements</w:t>
      </w:r>
      <w:r w:rsidRPr="005039F1">
        <w:rPr>
          <w:rFonts w:ascii="Times New Roman" w:hAnsi="Times New Roman" w:cs="Times New Roman"/>
        </w:rPr>
        <w:t>. The IPSASB considered that recognizing remeasurements in net assets/equity would have the same accounting outcome as IAS 19 in not impacting surplus or deficit with components of defined benefit cost that have different predictive values. Therefore, the IPSASB decided to recognize remeasurements in net assets/equity rather than surplus or deficit.</w:t>
      </w:r>
    </w:p>
    <w:p w14:paraId="1933BBF6"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BC15.</w:t>
      </w:r>
      <w:r w:rsidRPr="005039F1">
        <w:rPr>
          <w:rFonts w:ascii="Times New Roman" w:hAnsi="Times New Roman" w:cs="Times New Roman"/>
        </w:rPr>
        <w:tab/>
        <w:t>The IPSASB noted that paragraph 45 of IPSAS 1 requires an entity to present each material class of similar items separately in the financial statements. Items of a dissimilar nature or function are presented separately, unless they are immaterial. Therefore, the IPSASB considered that a separate presentation of remeasurements of post-employment benefits may be required in the statement of changes in net assets/equity, if it is material.</w:t>
      </w:r>
    </w:p>
    <w:p w14:paraId="70BE83F6" w14:textId="77777777" w:rsidR="00E724FD" w:rsidRPr="005039F1" w:rsidRDefault="00E724FD" w:rsidP="00E724FD">
      <w:pPr>
        <w:pStyle w:val="Heading4Stacked"/>
        <w:keepLines w:val="0"/>
        <w:spacing w:before="180" w:line="240" w:lineRule="exact"/>
        <w:rPr>
          <w:rFonts w:ascii="Times New Roman" w:hAnsi="Times New Roman" w:cs="Times New Roman"/>
          <w:color w:val="000000"/>
        </w:rPr>
      </w:pPr>
      <w:r w:rsidRPr="005039F1">
        <w:rPr>
          <w:rFonts w:ascii="Times New Roman" w:hAnsi="Times New Roman" w:cs="Times New Roman"/>
          <w:color w:val="000000"/>
        </w:rPr>
        <w:lastRenderedPageBreak/>
        <w:t>Requirements of Government Finance Statistics Reporting Guidelines</w:t>
      </w:r>
    </w:p>
    <w:p w14:paraId="57D96C07"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BC16.</w:t>
      </w:r>
      <w:r w:rsidRPr="005039F1">
        <w:rPr>
          <w:rFonts w:ascii="Times New Roman" w:hAnsi="Times New Roman" w:cs="Times New Roman"/>
        </w:rPr>
        <w:tab/>
        <w:t>The IPSASB considered the requirements of Government Finance Statistics (GFS) reporting guidelines on the classification, presentation, recognition, measurement and disclosure of employee benefits and identified some differences with both the revised IAS 19 and with IPSAS 39.</w:t>
      </w:r>
    </w:p>
    <w:p w14:paraId="4B122587"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BC17.</w:t>
      </w:r>
      <w:r w:rsidRPr="005039F1">
        <w:rPr>
          <w:rFonts w:ascii="Times New Roman" w:hAnsi="Times New Roman" w:cs="Times New Roman"/>
        </w:rPr>
        <w:tab/>
        <w:t xml:space="preserve">GFS reporting guidelines do not apply the net interest approach, but rather recognize the proceeds of fund assets and interest on fund liabilities according to the economic nature of these revenues and expenses. GFS then attributes the property income and the increase in the liability for benefit entitlements due to the passage of time through an entry in “property expense for investment income disbursements”. In IPSAS 39 equivalent entries are presented in surplus or deficit. </w:t>
      </w:r>
    </w:p>
    <w:p w14:paraId="123695D8"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BC18.</w:t>
      </w:r>
      <w:r w:rsidRPr="005039F1">
        <w:rPr>
          <w:rFonts w:ascii="Times New Roman" w:hAnsi="Times New Roman" w:cs="Times New Roman"/>
        </w:rPr>
        <w:tab/>
        <w:t xml:space="preserve">For autonomous funds recognized outside the employer’s accounts, GFS recognizes a claim of the pension fund on the pension manager for deficits of the pension fund in specific circumstances. In these cases, GFS does not require the recognition of an interest expense in the employers’ accounts due to the passage of time in recognizing that claim. </w:t>
      </w:r>
    </w:p>
    <w:p w14:paraId="531F453A"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BC19.</w:t>
      </w:r>
      <w:r w:rsidRPr="005039F1">
        <w:rPr>
          <w:rFonts w:ascii="Times New Roman" w:hAnsi="Times New Roman" w:cs="Times New Roman"/>
        </w:rPr>
        <w:tab/>
        <w:t>In GFS, the plan assets are generally measured on the same basis as other assets, which is normally market value. Therefore, unlike IPSAS 39, no additional calculation to include the discount rate in the plan assets as a whole is necessary to estimate present value. However, in GFS some assets are not measured at market value. This may give rise to different valuations between IPSAS 39 and GFS (for example: loans are measured at nominal value in GFS and usually at amortized cost in IPSAS).</w:t>
      </w:r>
    </w:p>
    <w:p w14:paraId="71AFA007"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BC20.</w:t>
      </w:r>
      <w:r w:rsidRPr="005039F1">
        <w:rPr>
          <w:rFonts w:ascii="Times New Roman" w:hAnsi="Times New Roman" w:cs="Times New Roman"/>
        </w:rPr>
        <w:tab/>
        <w:t>In GFS, any changes in the volume or value of assets that do not result from transactions are recorded in the Statement of Other Economic Flows, which includes the effect of the passage of time. In GFS, the pension fund only records actual revenue from transactions such as interest, dividends and rents in the Statement of Operations.</w:t>
      </w:r>
    </w:p>
    <w:p w14:paraId="799B2433"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BC21.</w:t>
      </w:r>
      <w:r w:rsidRPr="005039F1">
        <w:rPr>
          <w:rFonts w:ascii="Times New Roman" w:hAnsi="Times New Roman" w:cs="Times New Roman"/>
        </w:rPr>
        <w:tab/>
        <w:t>GFS does not disaggregate employee benefits into short-term and long-term employee benefits and does not require specific disclosures on employee benefits, except for the supplementary table on pension schemes in social insurance specified in the System of National Accounts 2008.</w:t>
      </w:r>
    </w:p>
    <w:p w14:paraId="4FC8BBE0"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r w:rsidRPr="005039F1">
        <w:rPr>
          <w:rFonts w:ascii="Times New Roman" w:hAnsi="Times New Roman" w:cs="Times New Roman"/>
        </w:rPr>
        <w:t>BC22.</w:t>
      </w:r>
      <w:r w:rsidRPr="005039F1">
        <w:rPr>
          <w:rFonts w:ascii="Times New Roman" w:hAnsi="Times New Roman" w:cs="Times New Roman"/>
        </w:rPr>
        <w:tab/>
        <w:t>The IPSASB concluded that these differences are due to the different objectives and presentational frameworks of IPSAS and GFS. They do not constitute public sector specific reasons that warrant departure from IAS 19.</w:t>
      </w:r>
    </w:p>
    <w:p w14:paraId="62DC6A3F" w14:textId="77777777" w:rsidR="00E724FD" w:rsidRPr="005039F1" w:rsidRDefault="00E724FD" w:rsidP="00E724FD">
      <w:pPr>
        <w:pStyle w:val="IFACListStyle1"/>
        <w:numPr>
          <w:ilvl w:val="0"/>
          <w:numId w:val="0"/>
        </w:numPr>
        <w:tabs>
          <w:tab w:val="clear" w:pos="547"/>
        </w:tabs>
        <w:spacing w:line="240" w:lineRule="exact"/>
        <w:ind w:left="709" w:hanging="709"/>
        <w:rPr>
          <w:rFonts w:ascii="Times New Roman" w:hAnsi="Times New Roman" w:cs="Times New Roman"/>
        </w:rPr>
      </w:pPr>
    </w:p>
    <w:p w14:paraId="3CE4E5FA" w14:textId="77777777" w:rsidR="00E724FD" w:rsidRPr="005039F1" w:rsidRDefault="00E724FD">
      <w:pPr>
        <w:rPr>
          <w:rFonts w:ascii="Times New Roman" w:hAnsi="Times New Roman" w:cs="Times New Roman"/>
          <w:lang w:val="en-US"/>
        </w:rPr>
      </w:pPr>
    </w:p>
    <w:sectPr w:rsidR="00E724FD" w:rsidRPr="005039F1" w:rsidSect="00E724F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41197" w14:textId="77777777" w:rsidR="009353B8" w:rsidRDefault="009353B8" w:rsidP="009353B8">
      <w:pPr>
        <w:spacing w:after="0" w:line="240" w:lineRule="auto"/>
      </w:pPr>
      <w:r>
        <w:separator/>
      </w:r>
    </w:p>
  </w:endnote>
  <w:endnote w:type="continuationSeparator" w:id="0">
    <w:p w14:paraId="1D9771E0" w14:textId="77777777" w:rsidR="009353B8" w:rsidRDefault="009353B8" w:rsidP="0093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24816" w14:textId="31FFC4B2" w:rsidR="00E724FD" w:rsidRDefault="00E724FD">
    <w:pPr>
      <w:pStyle w:val="Footer"/>
      <w:rPr>
        <w:rFonts w:ascii="Times New Roman" w:eastAsia="Times New Roman" w:hAnsi="Times New Roman" w:cs="Times New Roman"/>
        <w:noProof/>
        <w:sz w:val="16"/>
        <w:szCs w:val="16"/>
        <w:lang w:val="en-GB" w:eastAsia="en-GB"/>
      </w:rPr>
    </w:pPr>
    <w:r w:rsidRPr="009353B8">
      <w:rPr>
        <w:rFonts w:ascii="Times New Roman" w:eastAsia="Times New Roman" w:hAnsi="Times New Roman" w:cs="Times New Roman"/>
        <w:sz w:val="16"/>
        <w:szCs w:val="16"/>
        <w:lang w:val="en-GB" w:eastAsia="en-GB"/>
      </w:rPr>
      <w:t>IPSAS 3</w:t>
    </w:r>
    <w:r>
      <w:rPr>
        <w:rFonts w:ascii="Times New Roman" w:eastAsia="Times New Roman" w:hAnsi="Times New Roman" w:cs="Times New Roman"/>
        <w:sz w:val="16"/>
        <w:szCs w:val="16"/>
        <w:lang w:val="en-GB" w:eastAsia="en-GB"/>
      </w:rPr>
      <w:t xml:space="preserve">9 </w:t>
    </w:r>
    <w:r w:rsidRPr="009353B8">
      <w:rPr>
        <w:rFonts w:ascii="Times New Roman" w:eastAsia="Times New Roman" w:hAnsi="Times New Roman" w:cs="Times New Roman"/>
        <w:sz w:val="16"/>
        <w:szCs w:val="16"/>
        <w:lang w:val="en-GB" w:eastAsia="en-GB"/>
      </w:rPr>
      <w:t xml:space="preserve">BASIS </w:t>
    </w:r>
    <w:r w:rsidRPr="00E724FD">
      <w:rPr>
        <w:rFonts w:ascii="Times New Roman" w:eastAsia="Times New Roman" w:hAnsi="Times New Roman" w:cs="Times New Roman"/>
        <w:sz w:val="16"/>
        <w:szCs w:val="16"/>
        <w:lang w:val="en-GB" w:eastAsia="en-GB"/>
      </w:rPr>
      <w:t>FOR C</w:t>
    </w:r>
    <w:r w:rsidRPr="009353B8">
      <w:rPr>
        <w:rFonts w:ascii="Times New Roman" w:eastAsia="Times New Roman" w:hAnsi="Times New Roman" w:cs="Times New Roman"/>
        <w:sz w:val="16"/>
        <w:szCs w:val="16"/>
        <w:lang w:val="en-GB" w:eastAsia="en-GB"/>
      </w:rPr>
      <w:t>ONCLUSIONS</w:t>
    </w:r>
    <w:r>
      <w:rPr>
        <w:rFonts w:ascii="Times New Roman" w:eastAsia="Times New Roman" w:hAnsi="Times New Roman" w:cs="Times New Roman"/>
        <w:sz w:val="16"/>
        <w:szCs w:val="16"/>
        <w:lang w:val="en-GB" w:eastAsia="en-GB"/>
      </w:rPr>
      <w:tab/>
    </w:r>
    <w:r w:rsidRPr="00E724FD">
      <w:rPr>
        <w:rFonts w:ascii="Times New Roman" w:eastAsia="Times New Roman" w:hAnsi="Times New Roman" w:cs="Times New Roman"/>
        <w:sz w:val="16"/>
        <w:szCs w:val="16"/>
        <w:lang w:val="en-GB" w:eastAsia="en-GB"/>
      </w:rPr>
      <w:fldChar w:fldCharType="begin"/>
    </w:r>
    <w:r w:rsidRPr="00E724FD">
      <w:rPr>
        <w:rFonts w:ascii="Times New Roman" w:eastAsia="Times New Roman" w:hAnsi="Times New Roman" w:cs="Times New Roman"/>
        <w:sz w:val="16"/>
        <w:szCs w:val="16"/>
        <w:lang w:val="en-GB" w:eastAsia="en-GB"/>
      </w:rPr>
      <w:instrText xml:space="preserve"> PAGE   \* MERGEFORMAT </w:instrText>
    </w:r>
    <w:r w:rsidRPr="00E724FD">
      <w:rPr>
        <w:rFonts w:ascii="Times New Roman" w:eastAsia="Times New Roman" w:hAnsi="Times New Roman" w:cs="Times New Roman"/>
        <w:sz w:val="16"/>
        <w:szCs w:val="16"/>
        <w:lang w:val="en-GB" w:eastAsia="en-GB"/>
      </w:rPr>
      <w:fldChar w:fldCharType="separate"/>
    </w:r>
    <w:r w:rsidR="000B7F0B">
      <w:rPr>
        <w:rFonts w:ascii="Times New Roman" w:eastAsia="Times New Roman" w:hAnsi="Times New Roman" w:cs="Times New Roman"/>
        <w:noProof/>
        <w:sz w:val="16"/>
        <w:szCs w:val="16"/>
        <w:lang w:val="en-GB" w:eastAsia="en-GB"/>
      </w:rPr>
      <w:t>2</w:t>
    </w:r>
    <w:r w:rsidRPr="00E724FD">
      <w:rPr>
        <w:rFonts w:ascii="Times New Roman" w:eastAsia="Times New Roman" w:hAnsi="Times New Roman" w:cs="Times New Roman"/>
        <w:noProof/>
        <w:sz w:val="16"/>
        <w:szCs w:val="16"/>
        <w:lang w:val="en-GB" w:eastAsia="en-GB"/>
      </w:rPr>
      <w:fldChar w:fldCharType="end"/>
    </w:r>
  </w:p>
  <w:p w14:paraId="4D142CB6" w14:textId="2299FC64" w:rsidR="00AE12EF" w:rsidRPr="00AE12EF" w:rsidRDefault="00AE12EF" w:rsidP="00AE12EF">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1671" w14:textId="377A9C8F" w:rsidR="00E724FD" w:rsidRDefault="009353B8" w:rsidP="00E724FD">
    <w:pPr>
      <w:pStyle w:val="Footer"/>
    </w:pPr>
    <w:r>
      <w:ptab w:relativeTo="margin" w:alignment="center" w:leader="none"/>
    </w:r>
    <w:r>
      <w:fldChar w:fldCharType="begin"/>
    </w:r>
    <w:r>
      <w:instrText xml:space="preserve"> PAGE   \* MERGEFORMAT </w:instrText>
    </w:r>
    <w:r>
      <w:fldChar w:fldCharType="separate"/>
    </w:r>
    <w:r w:rsidR="000B7F0B">
      <w:rPr>
        <w:noProof/>
      </w:rPr>
      <w:t>1</w:t>
    </w:r>
    <w:r>
      <w:rPr>
        <w:noProof/>
      </w:rPr>
      <w:fldChar w:fldCharType="end"/>
    </w:r>
    <w:r>
      <w:ptab w:relativeTo="margin" w:alignment="right" w:leader="none"/>
    </w:r>
    <w:r w:rsidR="00E724FD" w:rsidRPr="009353B8">
      <w:rPr>
        <w:rFonts w:ascii="Times New Roman" w:eastAsia="Times New Roman" w:hAnsi="Times New Roman" w:cs="Times New Roman"/>
        <w:sz w:val="16"/>
        <w:szCs w:val="16"/>
        <w:lang w:val="en-GB" w:eastAsia="en-GB"/>
      </w:rPr>
      <w:t>IPSAS 3</w:t>
    </w:r>
    <w:r w:rsidR="00E724FD">
      <w:rPr>
        <w:rFonts w:ascii="Times New Roman" w:eastAsia="Times New Roman" w:hAnsi="Times New Roman" w:cs="Times New Roman"/>
        <w:sz w:val="16"/>
        <w:szCs w:val="16"/>
        <w:lang w:val="en-GB" w:eastAsia="en-GB"/>
      </w:rPr>
      <w:t xml:space="preserve">9 </w:t>
    </w:r>
    <w:r w:rsidR="00E724FD" w:rsidRPr="009353B8">
      <w:rPr>
        <w:rFonts w:ascii="Times New Roman" w:eastAsia="Times New Roman" w:hAnsi="Times New Roman" w:cs="Times New Roman"/>
        <w:sz w:val="16"/>
        <w:szCs w:val="16"/>
        <w:lang w:val="en-GB" w:eastAsia="en-GB"/>
      </w:rPr>
      <w:t xml:space="preserve">BASIS </w:t>
    </w:r>
    <w:r w:rsidR="00E724FD" w:rsidRPr="00E724FD">
      <w:rPr>
        <w:rFonts w:ascii="Times New Roman" w:eastAsia="Times New Roman" w:hAnsi="Times New Roman" w:cs="Times New Roman"/>
        <w:sz w:val="16"/>
        <w:szCs w:val="16"/>
        <w:lang w:val="en-GB" w:eastAsia="en-GB"/>
      </w:rPr>
      <w:t>FOR C</w:t>
    </w:r>
    <w:r w:rsidR="00E724FD" w:rsidRPr="009353B8">
      <w:rPr>
        <w:rFonts w:ascii="Times New Roman" w:eastAsia="Times New Roman" w:hAnsi="Times New Roman" w:cs="Times New Roman"/>
        <w:sz w:val="16"/>
        <w:szCs w:val="16"/>
        <w:lang w:val="en-GB" w:eastAsia="en-GB"/>
      </w:rPr>
      <w:t xml:space="preserve">ONCLUSIONS </w:t>
    </w:r>
  </w:p>
  <w:p w14:paraId="64A4B37F" w14:textId="12647FFF" w:rsidR="00AE12EF" w:rsidRPr="00AE12EF" w:rsidRDefault="00AE12EF" w:rsidP="00AE12EF">
    <w:pPr>
      <w:pStyle w:val="Footer"/>
      <w:rPr>
        <w:sz w:val="16"/>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3ACBD" w14:textId="0A3E82D9" w:rsidR="00AE12EF" w:rsidRPr="00AE12EF" w:rsidRDefault="00AE12EF" w:rsidP="00AE12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6B704" w14:textId="77777777" w:rsidR="009353B8" w:rsidRDefault="009353B8" w:rsidP="009353B8">
      <w:pPr>
        <w:spacing w:after="0" w:line="240" w:lineRule="auto"/>
      </w:pPr>
      <w:r>
        <w:separator/>
      </w:r>
    </w:p>
  </w:footnote>
  <w:footnote w:type="continuationSeparator" w:id="0">
    <w:p w14:paraId="2A709C9A" w14:textId="77777777" w:rsidR="009353B8" w:rsidRDefault="009353B8" w:rsidP="0093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4469" w14:textId="77777777" w:rsidR="000B7F0B" w:rsidRDefault="000B7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3ACF8" w14:textId="77777777" w:rsidR="009353B8" w:rsidRDefault="009353B8">
    <w:pPr>
      <w:pStyle w:val="Header"/>
    </w:pPr>
    <w:r w:rsidRPr="009353B8">
      <w:rPr>
        <w:rFonts w:ascii="Times New Roman" w:hAnsi="Times New Roman" w:cs="Times New Roman"/>
        <w:sz w:val="16"/>
        <w:szCs w:val="16"/>
      </w:rPr>
      <w:ptab w:relativeTo="margin" w:alignment="center" w:leader="none"/>
    </w:r>
    <w:r w:rsidR="00E724FD">
      <w:rPr>
        <w:rFonts w:ascii="Times New Roman" w:hAnsi="Times New Roman" w:cs="Times New Roman"/>
        <w:sz w:val="16"/>
        <w:szCs w:val="16"/>
      </w:rPr>
      <w:t>EMPLOYEE BENEFITS</w:t>
    </w:r>
    <w: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EC79" w14:textId="77777777" w:rsidR="000B7F0B" w:rsidRDefault="000B7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11AA"/>
    <w:multiLevelType w:val="multilevel"/>
    <w:tmpl w:val="E8F0F55A"/>
    <w:lvl w:ilvl="0">
      <w:start w:val="1"/>
      <w:numFmt w:val="decimal"/>
      <w:pStyle w:val="IFACListStyle1"/>
      <w:lvlText w:val="%1."/>
      <w:lvlJc w:val="left"/>
      <w:pPr>
        <w:ind w:left="547" w:hanging="547"/>
      </w:pPr>
      <w:rPr>
        <w:rFonts w:ascii="Arial" w:hAnsi="Arial" w:cs="Arial" w:hint="default"/>
        <w:b w:val="0"/>
        <w:sz w:val="20"/>
        <w:szCs w:val="20"/>
      </w:rPr>
    </w:lvl>
    <w:lvl w:ilvl="1">
      <w:start w:val="1"/>
      <w:numFmt w:val="lowerLetter"/>
      <w:pStyle w:val="IFACListStyle2"/>
      <w:lvlText w:val="(%2)"/>
      <w:lvlJc w:val="left"/>
      <w:pPr>
        <w:ind w:left="1094" w:hanging="547"/>
      </w:pPr>
      <w:rPr>
        <w:rFonts w:hint="default"/>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BF"/>
    <w:rsid w:val="000B7F0B"/>
    <w:rsid w:val="00185571"/>
    <w:rsid w:val="001A18BF"/>
    <w:rsid w:val="0030517C"/>
    <w:rsid w:val="00313EA4"/>
    <w:rsid w:val="004F165C"/>
    <w:rsid w:val="005039F1"/>
    <w:rsid w:val="00521801"/>
    <w:rsid w:val="006F5E21"/>
    <w:rsid w:val="00741C25"/>
    <w:rsid w:val="00786737"/>
    <w:rsid w:val="009353B8"/>
    <w:rsid w:val="00A65113"/>
    <w:rsid w:val="00AE12EF"/>
    <w:rsid w:val="00E724FD"/>
    <w:rsid w:val="00F901FE"/>
    <w:rsid w:val="00FA0D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C9F1"/>
  <w15:chartTrackingRefBased/>
  <w15:docId w15:val="{F547915B-3538-4E96-95F1-E14FEAB8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6F5E21"/>
    <w:pPr>
      <w:spacing w:before="120" w:after="0" w:line="240" w:lineRule="exact"/>
      <w:jc w:val="both"/>
    </w:pPr>
    <w:rPr>
      <w:rFonts w:ascii="Times New Roman" w:eastAsia="Times New Roman" w:hAnsi="Times New Roman" w:cs="Times New Roman"/>
      <w:kern w:val="20"/>
      <w:sz w:val="20"/>
      <w:szCs w:val="20"/>
      <w:lang w:val="en-US"/>
    </w:rPr>
  </w:style>
  <w:style w:type="character" w:customStyle="1" w:styleId="BodyTextChar">
    <w:name w:val="Body Text Char"/>
    <w:aliases w:val="bt Char"/>
    <w:basedOn w:val="DefaultParagraphFont"/>
    <w:link w:val="BodyText"/>
    <w:rsid w:val="006F5E21"/>
    <w:rPr>
      <w:rFonts w:ascii="Times New Roman" w:eastAsia="Times New Roman" w:hAnsi="Times New Roman" w:cs="Times New Roman"/>
      <w:kern w:val="20"/>
      <w:sz w:val="20"/>
      <w:szCs w:val="20"/>
      <w:lang w:val="en-US"/>
    </w:rPr>
  </w:style>
  <w:style w:type="paragraph" w:styleId="BalloonText">
    <w:name w:val="Balloon Text"/>
    <w:basedOn w:val="Normal"/>
    <w:link w:val="BalloonTextChar"/>
    <w:uiPriority w:val="99"/>
    <w:semiHidden/>
    <w:unhideWhenUsed/>
    <w:rsid w:val="00935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B8"/>
    <w:rPr>
      <w:rFonts w:ascii="Segoe UI" w:hAnsi="Segoe UI" w:cs="Segoe UI"/>
      <w:sz w:val="18"/>
      <w:szCs w:val="18"/>
    </w:rPr>
  </w:style>
  <w:style w:type="paragraph" w:styleId="Header">
    <w:name w:val="header"/>
    <w:aliases w:val="Left Header"/>
    <w:basedOn w:val="Normal"/>
    <w:link w:val="HeaderChar"/>
    <w:uiPriority w:val="99"/>
    <w:unhideWhenUsed/>
    <w:qFormat/>
    <w:rsid w:val="009353B8"/>
    <w:pPr>
      <w:tabs>
        <w:tab w:val="center" w:pos="4513"/>
        <w:tab w:val="right" w:pos="9026"/>
      </w:tabs>
      <w:spacing w:after="0" w:line="240" w:lineRule="auto"/>
    </w:pPr>
  </w:style>
  <w:style w:type="character" w:customStyle="1" w:styleId="HeaderChar">
    <w:name w:val="Header Char"/>
    <w:aliases w:val="Left Header Char"/>
    <w:basedOn w:val="DefaultParagraphFont"/>
    <w:link w:val="Header"/>
    <w:uiPriority w:val="99"/>
    <w:rsid w:val="009353B8"/>
  </w:style>
  <w:style w:type="paragraph" w:styleId="Footer">
    <w:name w:val="footer"/>
    <w:basedOn w:val="Normal"/>
    <w:link w:val="FooterChar"/>
    <w:uiPriority w:val="99"/>
    <w:unhideWhenUsed/>
    <w:qFormat/>
    <w:rsid w:val="00935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B8"/>
  </w:style>
  <w:style w:type="paragraph" w:customStyle="1" w:styleId="IFACListStyle1">
    <w:name w:val="IFAC ListStyle 1"/>
    <w:aliases w:val="ls1"/>
    <w:basedOn w:val="Normal"/>
    <w:link w:val="IFACListStyle1Char"/>
    <w:qFormat/>
    <w:rsid w:val="00E724FD"/>
    <w:pPr>
      <w:numPr>
        <w:numId w:val="1"/>
      </w:numPr>
      <w:tabs>
        <w:tab w:val="left" w:pos="547"/>
      </w:tabs>
      <w:spacing w:before="120" w:after="0" w:line="280" w:lineRule="exact"/>
      <w:jc w:val="both"/>
    </w:pPr>
    <w:rPr>
      <w:rFonts w:ascii="Arial" w:eastAsia="Times New Roman" w:hAnsi="Arial"/>
      <w:kern w:val="8"/>
      <w:sz w:val="20"/>
      <w:szCs w:val="24"/>
      <w:lang w:val="en-US" w:bidi="he-IL"/>
    </w:rPr>
  </w:style>
  <w:style w:type="paragraph" w:customStyle="1" w:styleId="IFACListStyle2">
    <w:name w:val="IFAC ListStyle 2"/>
    <w:aliases w:val="ls2"/>
    <w:basedOn w:val="Normal"/>
    <w:qFormat/>
    <w:rsid w:val="00E724FD"/>
    <w:pPr>
      <w:numPr>
        <w:ilvl w:val="1"/>
        <w:numId w:val="1"/>
      </w:numPr>
      <w:tabs>
        <w:tab w:val="left" w:pos="1094"/>
      </w:tabs>
      <w:spacing w:before="120" w:after="0" w:line="280" w:lineRule="exact"/>
      <w:jc w:val="both"/>
    </w:pPr>
    <w:rPr>
      <w:rFonts w:ascii="Arial" w:eastAsia="Times New Roman" w:hAnsi="Arial"/>
      <w:kern w:val="8"/>
      <w:sz w:val="20"/>
      <w:szCs w:val="24"/>
      <w:lang w:val="en-US" w:bidi="he-IL"/>
    </w:rPr>
  </w:style>
  <w:style w:type="paragraph" w:customStyle="1" w:styleId="IFACListStyle3">
    <w:name w:val="IFAC ListStyle 3"/>
    <w:aliases w:val="ls3"/>
    <w:basedOn w:val="Normal"/>
    <w:qFormat/>
    <w:rsid w:val="00E724FD"/>
    <w:pPr>
      <w:numPr>
        <w:ilvl w:val="2"/>
        <w:numId w:val="1"/>
      </w:numPr>
      <w:tabs>
        <w:tab w:val="left" w:pos="1642"/>
      </w:tabs>
      <w:spacing w:before="120" w:after="0" w:line="280" w:lineRule="exact"/>
      <w:jc w:val="both"/>
    </w:pPr>
    <w:rPr>
      <w:rFonts w:ascii="Arial" w:eastAsia="Times New Roman" w:hAnsi="Arial"/>
      <w:kern w:val="8"/>
      <w:sz w:val="20"/>
      <w:szCs w:val="24"/>
      <w:lang w:val="en-US" w:bidi="he-IL"/>
    </w:rPr>
  </w:style>
  <w:style w:type="paragraph" w:customStyle="1" w:styleId="IFACListStyle4">
    <w:name w:val="IFAC ListStyle 4"/>
    <w:aliases w:val="ls4"/>
    <w:basedOn w:val="Normal"/>
    <w:qFormat/>
    <w:rsid w:val="00E724FD"/>
    <w:pPr>
      <w:numPr>
        <w:ilvl w:val="3"/>
        <w:numId w:val="1"/>
      </w:numPr>
      <w:tabs>
        <w:tab w:val="left" w:pos="2189"/>
      </w:tabs>
      <w:spacing w:before="120" w:after="0" w:line="280" w:lineRule="exact"/>
      <w:jc w:val="both"/>
    </w:pPr>
    <w:rPr>
      <w:rFonts w:ascii="Arial" w:eastAsia="Times New Roman" w:hAnsi="Arial"/>
      <w:kern w:val="8"/>
      <w:sz w:val="20"/>
      <w:szCs w:val="24"/>
      <w:lang w:val="en-US" w:bidi="he-IL"/>
    </w:rPr>
  </w:style>
  <w:style w:type="paragraph" w:customStyle="1" w:styleId="IFACListStyle5">
    <w:name w:val="IFAC ListStyle 5"/>
    <w:aliases w:val="ls5"/>
    <w:basedOn w:val="Normal"/>
    <w:qFormat/>
    <w:rsid w:val="00E724FD"/>
    <w:pPr>
      <w:numPr>
        <w:ilvl w:val="4"/>
        <w:numId w:val="1"/>
      </w:numPr>
      <w:tabs>
        <w:tab w:val="left" w:pos="2736"/>
      </w:tabs>
      <w:spacing w:before="120" w:after="0" w:line="280" w:lineRule="exact"/>
      <w:jc w:val="both"/>
    </w:pPr>
    <w:rPr>
      <w:rFonts w:ascii="Arial" w:eastAsia="Times New Roman" w:hAnsi="Arial"/>
      <w:kern w:val="8"/>
      <w:sz w:val="20"/>
      <w:szCs w:val="24"/>
      <w:lang w:val="en-US" w:bidi="he-IL"/>
    </w:rPr>
  </w:style>
  <w:style w:type="paragraph" w:customStyle="1" w:styleId="Heading4Stacked">
    <w:name w:val="Heading 4 (Stacked)"/>
    <w:basedOn w:val="Normal"/>
    <w:next w:val="BodyText"/>
    <w:uiPriority w:val="1"/>
    <w:qFormat/>
    <w:rsid w:val="00E724FD"/>
    <w:pPr>
      <w:keepNext/>
      <w:keepLines/>
      <w:spacing w:before="120" w:after="0" w:line="280" w:lineRule="exact"/>
      <w:outlineLvl w:val="3"/>
    </w:pPr>
    <w:rPr>
      <w:rFonts w:ascii="Arial" w:hAnsi="Arial"/>
      <w:i/>
      <w:sz w:val="20"/>
      <w:szCs w:val="24"/>
      <w:lang w:val="en-US"/>
    </w:rPr>
  </w:style>
  <w:style w:type="paragraph" w:customStyle="1" w:styleId="Heading2NoSpaceBefore">
    <w:name w:val="Heading 2 NoSpaceBefore"/>
    <w:basedOn w:val="Normal"/>
    <w:next w:val="BodyText"/>
    <w:uiPriority w:val="1"/>
    <w:qFormat/>
    <w:rsid w:val="00E724FD"/>
    <w:pPr>
      <w:keepNext/>
      <w:keepLines/>
      <w:spacing w:after="0" w:line="320" w:lineRule="exact"/>
      <w:outlineLvl w:val="1"/>
    </w:pPr>
    <w:rPr>
      <w:rFonts w:ascii="Arial" w:hAnsi="Arial"/>
      <w:b/>
      <w:sz w:val="24"/>
      <w:szCs w:val="24"/>
      <w:lang w:val="en-US"/>
    </w:rPr>
  </w:style>
  <w:style w:type="character" w:customStyle="1" w:styleId="IFACListStyle1Char">
    <w:name w:val="IFAC ListStyle 1 Char"/>
    <w:aliases w:val="ls1 Char"/>
    <w:basedOn w:val="DefaultParagraphFont"/>
    <w:link w:val="IFACListStyle1"/>
    <w:rsid w:val="00E724FD"/>
    <w:rPr>
      <w:rFonts w:ascii="Arial" w:eastAsia="Times New Roman" w:hAnsi="Arial"/>
      <w:kern w:val="8"/>
      <w:sz w:val="20"/>
      <w:szCs w:val="24"/>
      <w:lang w:val="en-US" w:bidi="he-IL"/>
    </w:rPr>
  </w:style>
  <w:style w:type="character" w:styleId="CommentReference">
    <w:name w:val="annotation reference"/>
    <w:basedOn w:val="DefaultParagraphFont"/>
    <w:uiPriority w:val="99"/>
    <w:semiHidden/>
    <w:unhideWhenUsed/>
    <w:rsid w:val="00313EA4"/>
    <w:rPr>
      <w:sz w:val="16"/>
      <w:szCs w:val="16"/>
    </w:rPr>
  </w:style>
  <w:style w:type="paragraph" w:styleId="CommentText">
    <w:name w:val="annotation text"/>
    <w:basedOn w:val="Normal"/>
    <w:link w:val="CommentTextChar"/>
    <w:uiPriority w:val="99"/>
    <w:semiHidden/>
    <w:unhideWhenUsed/>
    <w:rsid w:val="00313EA4"/>
    <w:pPr>
      <w:spacing w:line="240" w:lineRule="auto"/>
    </w:pPr>
    <w:rPr>
      <w:sz w:val="20"/>
      <w:szCs w:val="20"/>
    </w:rPr>
  </w:style>
  <w:style w:type="character" w:customStyle="1" w:styleId="CommentTextChar">
    <w:name w:val="Comment Text Char"/>
    <w:basedOn w:val="DefaultParagraphFont"/>
    <w:link w:val="CommentText"/>
    <w:uiPriority w:val="99"/>
    <w:semiHidden/>
    <w:rsid w:val="00313EA4"/>
    <w:rPr>
      <w:sz w:val="20"/>
      <w:szCs w:val="20"/>
    </w:rPr>
  </w:style>
  <w:style w:type="paragraph" w:styleId="CommentSubject">
    <w:name w:val="annotation subject"/>
    <w:basedOn w:val="CommentText"/>
    <w:next w:val="CommentText"/>
    <w:link w:val="CommentSubjectChar"/>
    <w:uiPriority w:val="99"/>
    <w:semiHidden/>
    <w:unhideWhenUsed/>
    <w:rsid w:val="00313EA4"/>
    <w:rPr>
      <w:b/>
      <w:bCs/>
    </w:rPr>
  </w:style>
  <w:style w:type="character" w:customStyle="1" w:styleId="CommentSubjectChar">
    <w:name w:val="Comment Subject Char"/>
    <w:basedOn w:val="CommentTextChar"/>
    <w:link w:val="CommentSubject"/>
    <w:uiPriority w:val="99"/>
    <w:semiHidden/>
    <w:rsid w:val="00313EA4"/>
    <w:rPr>
      <w:b/>
      <w:bCs/>
      <w:sz w:val="20"/>
      <w:szCs w:val="20"/>
    </w:rPr>
  </w:style>
  <w:style w:type="paragraph" w:styleId="Revision">
    <w:name w:val="Revision"/>
    <w:hidden/>
    <w:uiPriority w:val="99"/>
    <w:semiHidden/>
    <w:rsid w:val="00503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E7FE-82CE-4FA0-8592-A3BCED67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1835</Words>
  <Characters>10121</Characters>
  <Application>Microsoft Office Word</Application>
  <DocSecurity>0</DocSecurity>
  <Lines>162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PBE IPSAS 39 IPSASB BC Addnal Materials</dc:subject>
  <dc:creator>Judith Pinny</dc:creator>
  <cp:keywords/>
  <dc:description/>
  <cp:lastModifiedBy>Judith Pinny</cp:lastModifiedBy>
  <cp:revision>4</cp:revision>
  <cp:lastPrinted>2017-04-18T03:13:00Z</cp:lastPrinted>
  <dcterms:created xsi:type="dcterms:W3CDTF">2017-05-07T23:24:00Z</dcterms:created>
  <dcterms:modified xsi:type="dcterms:W3CDTF">2017-05-07T23:26:00Z</dcterms:modified>
</cp:coreProperties>
</file>